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bookmarkStart w:id="0" w:name="_GoBack"/>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bookmarkEnd w:id="0"/>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F268D7">
              <w:rPr>
                <w:rFonts w:ascii="Times New Roman" w:eastAsia="標楷體" w:hAnsi="Times New Roman" w:hint="eastAsia"/>
                <w:szCs w:val="24"/>
              </w:rPr>
              <w:t xml:space="preserve">   </w:t>
            </w:r>
            <w:r w:rsidR="00F268D7">
              <w:rPr>
                <w:rFonts w:ascii="Times New Roman" w:eastAsia="標楷體" w:hAnsi="Times New Roman" w:hint="eastAsia"/>
                <w:szCs w:val="24"/>
              </w:rPr>
              <w:t>黃一軒老師</w:t>
            </w:r>
            <w:r w:rsidR="0075357B" w:rsidRPr="000067EF">
              <w:rPr>
                <w:rFonts w:ascii="Times New Roman" w:eastAsia="標楷體" w:hAnsi="Times New Roman" w:hint="eastAsia"/>
                <w:szCs w:val="24"/>
              </w:rPr>
              <w:t xml:space="preserve">   </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75357B" w:rsidRPr="000067EF">
              <w:rPr>
                <w:rFonts w:ascii="Times New Roman" w:eastAsia="標楷體" w:hAnsi="Times New Roman" w:hint="eastAsia"/>
                <w:szCs w:val="24"/>
              </w:rPr>
              <w:t xml:space="preserve">   </w:t>
            </w:r>
            <w:r w:rsidR="0075357B" w:rsidRPr="000067EF">
              <w:rPr>
                <w:rFonts w:ascii="Times New Roman" w:eastAsia="標楷體" w:hAnsi="Times New Roman" w:hint="eastAsia"/>
                <w:szCs w:val="24"/>
              </w:rPr>
              <w:t>黃一軒老師</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w:t>
            </w:r>
            <w:r w:rsidR="004F7908">
              <w:rPr>
                <w:rFonts w:ascii="Times New Roman" w:eastAsia="標楷體" w:hAnsi="Times New Roman" w:hint="eastAsia"/>
                <w:szCs w:val="24"/>
              </w:rPr>
              <w:t>三</w:t>
            </w:r>
            <w:r w:rsidRPr="000067EF">
              <w:rPr>
                <w:rFonts w:ascii="Times New Roman" w:eastAsia="標楷體" w:hAnsi="Times New Roman" w:hint="eastAsia"/>
                <w:szCs w:val="24"/>
              </w:rPr>
              <w:t>）</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7DE" w:rsidRDefault="000227DE" w:rsidP="00782383">
      <w:r>
        <w:separator/>
      </w:r>
    </w:p>
  </w:endnote>
  <w:endnote w:type="continuationSeparator" w:id="0">
    <w:p w:rsidR="000227DE" w:rsidRDefault="000227DE"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7DE" w:rsidRDefault="000227DE" w:rsidP="00782383">
      <w:r>
        <w:separator/>
      </w:r>
    </w:p>
  </w:footnote>
  <w:footnote w:type="continuationSeparator" w:id="0">
    <w:p w:rsidR="000227DE" w:rsidRDefault="000227DE"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227DE"/>
    <w:rsid w:val="000757DC"/>
    <w:rsid w:val="00076590"/>
    <w:rsid w:val="00096A82"/>
    <w:rsid w:val="000D7158"/>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4F7908"/>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5357B"/>
    <w:rsid w:val="007649C8"/>
    <w:rsid w:val="007711F9"/>
    <w:rsid w:val="00782383"/>
    <w:rsid w:val="00785898"/>
    <w:rsid w:val="00791F42"/>
    <w:rsid w:val="0079338C"/>
    <w:rsid w:val="0079625B"/>
    <w:rsid w:val="007B5600"/>
    <w:rsid w:val="007D2FB1"/>
    <w:rsid w:val="007D73F2"/>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35414"/>
    <w:rsid w:val="00943B36"/>
    <w:rsid w:val="009537A0"/>
    <w:rsid w:val="009903C6"/>
    <w:rsid w:val="009906DE"/>
    <w:rsid w:val="00992A58"/>
    <w:rsid w:val="00995D85"/>
    <w:rsid w:val="009A6016"/>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83EB3"/>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168CB"/>
    <w:rsid w:val="00F21ECC"/>
    <w:rsid w:val="00F25FA2"/>
    <w:rsid w:val="00F268D7"/>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2F10-780C-4E18-97F3-28AB9DF1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user</cp:lastModifiedBy>
  <cp:revision>2</cp:revision>
  <cp:lastPrinted>2019-09-05T00:15:00Z</cp:lastPrinted>
  <dcterms:created xsi:type="dcterms:W3CDTF">2020-01-13T02:47:00Z</dcterms:created>
  <dcterms:modified xsi:type="dcterms:W3CDTF">2020-01-13T02:47:00Z</dcterms:modified>
</cp:coreProperties>
</file>